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32"/>
          <w:szCs w:val="32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32"/>
          <w:szCs w:val="32"/>
          <w:u w:val="none"/>
          <w:shd w:val="clear" w:color="auto" w:fill="auto"/>
          <w:vertAlign w:val="baseline"/>
          <w:rtl w:val="false"/>
        </w:rPr>
        <w:t xml:space="preserve">Кейс «Космическая станция»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Описание: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Космическая станция, является сложным инженерным объектом, при создании которого, целые государства объединяют свои ресурсы, множество специалистов т</w:t>
      </w: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рудится над проектированием ее систем, создают новые материалы, технологии и инженерные решения, и, наконец, после согласованных усилий огромной международной команды, станция выходит на орбиту Земли, чтобы выполнять важнейшие для человечества исследовател</w:t>
      </w: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ьские и другие задачи. Одним из первых этапов проектирования станции, является создание ее концепции, то есть замысливание ее структуры: модулей, систем жизнеобеспечения, энергообеспечения, принципов взаимосвязи модулей и функционирование системы в целом.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Категория кейса: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вводный;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рассчитан на возраст учащихся от 10 лет.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Место в структуре программы: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Рекомендуется к выполнению после кейса «Пенал».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Количество учебных часов/занятий, на которые рассчитан кейс: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12 часов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Учебно-тематическое планирование (занятие – 2часа):</w:t>
      </w:r>
      <w:r/>
    </w:p>
    <w:tbl>
      <w:tblPr>
        <w:tblStyle w:val="178"/>
        <w:tblW w:w="9019" w:type="dxa"/>
        <w:tblInd w:w="0" w:type="dxa"/>
        <w:tblBorders>
          <w:left w:val="single" w:color="BFBFBF" w:sz="4" w:space="0"/>
          <w:top w:val="single" w:color="BFBFBF" w:sz="4" w:space="0"/>
          <w:right w:val="single" w:color="BFBFBF" w:sz="4" w:space="0"/>
          <w:bottom w:val="single" w:color="BFBFBF" w:sz="4" w:space="0"/>
          <w:insideV w:val="single" w:color="BFBFBF" w:sz="4" w:space="0"/>
          <w:insideH w:val="single" w:color="BFBFBF" w:sz="4" w:space="0"/>
        </w:tblBorders>
        <w:tblLayout w:type="fixed"/>
        <w:tblLook w:val="0400" w:firstRow="0" w:lastRow="0" w:firstColumn="0" w:lastColumn="0" w:noHBand="0" w:noVBand="1"/>
      </w:tblPr>
      <w:tblGrid>
        <w:gridCol w:w="5668"/>
        <w:gridCol w:w="3351"/>
        <w:tblGridChange w:id="0">
          <w:tblGrid>
            <w:gridCol w:w="5668"/>
            <w:gridCol w:w="3351"/>
          </w:tblGrid>
        </w:tblGridChange>
      </w:tblGrid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FFFFFF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Занятие 1</w:t>
            </w:r>
            <w:r>
              <w:rPr>
                <w:rtl w:val="false"/>
              </w:rPr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rtl w:val="false"/>
              </w:rPr>
              <w:t xml:space="preserve">Знакомство с понятием модульности промышленного изделия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Изучаем модульное устройство  космической станции, функциональное назначение модулей. Придумываем модульную станцию, состоящую из пересеченных друг с другом простых фигур. Задание на пространственную композицию. Быстрое эскизирование.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Дизайн-аналитика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Перспектива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Построение простых геометрических тел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Аналитическое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2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Научиться базовым понятиям 3д моделирования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Знакомство с интерфейсом программы Fusion 360, освоение проекций и видов, изучение набора команд и инструментов.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3д моделирование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Исследовательские навыки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внимание и концентрация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3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>
              <w:rPr>
                <w:rtl w:val="false"/>
              </w:rPr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Закрепить базовые понятия 3д моделирования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Знакомство с интерфейсом программы Fusion 360, освоение проекций и видов, изучение набора команд и инструментов.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3д моделирование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Исследовательские навыки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внимание и концентрация 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4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Развить навыки 3д моделирования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Создаем трехмерную модель станции по разработанному эскизу 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3д моделирование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Объемно-пространственное мышление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5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Развить навыки 3д моделирования и визуализации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Дорабатываем модель, настраиваем сцену для рендеринга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3д моделирование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рендеринг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6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Развить навыки визуализации и презентации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Рендерим сцену с моделью станции. Защита в формате выставки рендеров в электронном виде.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Рендеринг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Презентация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Навык презентации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Навык публичного выступления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Навык представления и защиты проекта</w:t>
            </w:r>
            <w:r/>
          </w:p>
        </w:tc>
      </w:tr>
    </w:tbl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Методы работы с кейсом.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Дизайн-аналитика, дизайн-проектирование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Минимально необходимый уровень входных компетенций: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стандартная школьная подготовка, соответствующая возрасту ребенка, без углубленных знаний.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Базовые знания по дизайн-скетчингу; </w:t>
      </w:r>
      <w:r/>
    </w:p>
    <w:p>
      <w:pPr>
        <w:ind w:left="36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Предполагаемые образовательные результаты учащихся, формируемые навыки: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Универсальные Soft Skills: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Навык публичного выступления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Навык представления и защиты проекта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Креативное мышление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Аналитическое мышление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Методы дизайн-анализа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Профессиональные Hard Skills: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Дизайн-аналитика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Дизайн-проектирование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Методы генерирования идей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Макетирование</w:t>
      </w:r>
      <w:r/>
    </w:p>
    <w:p>
      <w:pPr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Передача различных фактур материалов</w:t>
      </w:r>
      <w:r/>
    </w:p>
    <w:p>
      <w:pPr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Техника скетчинга маркерами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Объемно-пространственное мышление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3д-моделирование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Рендеринг</w:t>
      </w:r>
      <w:r/>
    </w:p>
    <w:p>
      <w:pPr>
        <w:ind w:left="36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Процедуры и формы выявления образовательного результата.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Презентация проекта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Выставка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Руководство для наставника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Введение в проблему.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Рассмотрение космической станции на примере существующей МКС. Изучается ее устройство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Формат работы: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Задание рассчитано на индивидуальное исполнение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Изучение проблемы. 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Наставник с учащимися проводит рассуждение на тему функции, модулей, движения, энергии, жизнеобеспечения. Выявляется связь между функцией, средой и формой/габаритами.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Разработка и создание.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Каждый учащийся на основе проведенной аналитики создает эскиз своей космической станции из простых геометрических тел. Обращаем внимание на линии пересечения тел, на пропорции и общую композицию.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Далее, после отработки базы Fusion 3</w:t>
      </w:r>
      <w:r>
        <w:rPr>
          <w:rFonts w:ascii="Calibri" w:hAnsi="Calibri" w:cs="Calibri" w:eastAsia="Calibri"/>
          <w:sz w:val="24"/>
          <w:szCs w:val="24"/>
          <w:rtl w:val="false"/>
        </w:rPr>
        <w:t xml:space="preserve">60, можно приступать к созданию модели по эскизу. По завершении моделирования настраиваем сцену и делаем рендер. Если останется дополнительное время, можно имитировать космическое пространство и присвоить модели материалы, для реалистичности визуализации.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Презентация.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Для презентации результата, учащиеся выводят финальный рендер на экран своего компьютера. Таким образом, получаем формат выставки, при котором все могут пройти по классу и посмотреть результаты друг-друга.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Необходимые материалы и оборудование.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Материалы: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Маркеры художественные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Бумага (формат А4 или А3)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Ручка, карандаш, ластик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Линейка металлическая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Оборудование: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Флипчарт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Компьютеры с установленным ПО для зд-моделирования (Fusion 360)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Интерактивная доска/проектор для проведения презентации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Список используемых источников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8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Жанна Лидтка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, </w:t>
      </w:r>
      <w:hyperlink r:id="rId9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Тим Огилви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«Думай как дизайнер. Дизайн-мышление для менеджеров» / Манн, Иванов и Фербер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0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Koos Eissen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, </w:t>
      </w:r>
      <w:hyperlink r:id="rId11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Roselien Steur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«Sketching: Drawing Techniques for Product Designers» / Hardcover 2009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2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Kevin Henry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«Drawing for Product Designers (Portfolio Skills: Product Design)» / Paperback 2012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3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Bjarki Hallgrimsson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«Prototyping and Modelmaking for Product Design (Portfolio Skills)» / Paperback 2012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Kurt Hanks, </w:t>
      </w:r>
      <w:hyperlink r:id="rId14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Larry Belliston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«Rapid Viz: A New Method for the Rapid Visualization of Ideas»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Rob Thompson «Prototyping and Low-Volume Production (The Manufacturing Guides)»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5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Jennifer Hudson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«Process 2nd Edition: 50 Product Designs from Concept to Manufacture»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6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http://designet.ru/</w:t>
        </w:r>
      </w:hyperlink>
      <w:r>
        <w:rPr>
          <w:rtl w:val="false"/>
        </w:rPr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7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https://www.behance.net/</w:t>
        </w:r>
      </w:hyperlink>
      <w:r>
        <w:rPr>
          <w:rtl w:val="false"/>
        </w:rPr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8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http://www.notcot.org/</w:t>
        </w:r>
      </w:hyperlink>
      <w:r>
        <w:rPr>
          <w:rtl w:val="false"/>
        </w:rPr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9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http://mocoloco.com/</w:t>
        </w:r>
      </w:hyperlink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sectPr>
      <w:footnotePr/>
      <w:type w:val="nextPage"/>
      <w:pgSz w:w="11909" w:h="16834" w:orient="portrait"/>
      <w:pgMar w:top="1440" w:right="1440" w:bottom="1440" w:left="1440" w:header="0" w:footer="720" w:gutter="0"/>
      <w:pgNumType w:start="1"/>
      <w:cols w:num="1" w:sep="0" w:space="1701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</w:lvl>
    <w:lvl w:ilvl="1">
      <w:start w:val="1"/>
      <w:numFmt w:val="lowerLetter"/>
      <w:suff w:val="tab"/>
      <w:lvlText w:val="%2."/>
      <w:lvlJc w:val="left"/>
      <w:pPr>
        <w:ind w:left="1440" w:hanging="360"/>
      </w:pPr>
    </w:lvl>
    <w:lvl w:ilvl="2">
      <w:start w:val="1"/>
      <w:numFmt w:val="lowerRoman"/>
      <w:suff w:val="tab"/>
      <w:lvlText w:val="%3."/>
      <w:lvlJc w:val="right"/>
      <w:pPr>
        <w:ind w:left="2160" w:hanging="180"/>
      </w:pPr>
    </w:lvl>
    <w:lvl w:ilvl="3">
      <w:start w:val="1"/>
      <w:numFmt w:val="decimal"/>
      <w:suff w:val="tab"/>
      <w:lvlText w:val="%4."/>
      <w:lvlJc w:val="left"/>
      <w:pPr>
        <w:ind w:left="2880" w:hanging="360"/>
      </w:pPr>
    </w:lvl>
    <w:lvl w:ilvl="4">
      <w:start w:val="1"/>
      <w:numFmt w:val="lowerLetter"/>
      <w:suff w:val="tab"/>
      <w:lvlText w:val="%5."/>
      <w:lvlJc w:val="left"/>
      <w:pPr>
        <w:ind w:left="3600" w:hanging="360"/>
      </w:pPr>
    </w:lvl>
    <w:lvl w:ilvl="5">
      <w:start w:val="1"/>
      <w:numFmt w:val="lowerRoman"/>
      <w:suff w:val="tab"/>
      <w:lvlText w:val="%6."/>
      <w:lvlJc w:val="right"/>
      <w:pPr>
        <w:ind w:left="4320" w:hanging="180"/>
      </w:pPr>
    </w:lvl>
    <w:lvl w:ilvl="6">
      <w:start w:val="1"/>
      <w:numFmt w:val="decimal"/>
      <w:suff w:val="tab"/>
      <w:lvlText w:val="%7."/>
      <w:lvlJc w:val="left"/>
      <w:pPr>
        <w:ind w:left="5040" w:hanging="360"/>
      </w:pPr>
    </w:lvl>
    <w:lvl w:ilvl="7">
      <w:start w:val="1"/>
      <w:numFmt w:val="lowerLetter"/>
      <w:suff w:val="tab"/>
      <w:lvlText w:val="%8."/>
      <w:lvlJc w:val="left"/>
      <w:pPr>
        <w:ind w:left="5760" w:hanging="360"/>
      </w:pPr>
    </w:lvl>
    <w:lvl w:ilvl="8">
      <w:start w:val="1"/>
      <w:numFmt w:val="lowerRoman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color w:val="auto"/>
        <w:spacing w:val="0"/>
        <w:position w:val="0"/>
        <w:sz w:val="22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76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170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171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172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173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174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175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168"/>
    <w:next w:val="16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168"/>
    <w:next w:val="16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168"/>
    <w:next w:val="16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168"/>
    <w:qFormat/>
    <w:uiPriority w:val="34"/>
    <w:pPr>
      <w:contextualSpacing w:val="true"/>
      <w:ind w:left="720"/>
    </w:pPr>
  </w:style>
  <w:style w:type="table" w:styleId="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9"/>
    <w:link w:val="176"/>
    <w:uiPriority w:val="10"/>
    <w:rPr>
      <w:sz w:val="48"/>
      <w:szCs w:val="48"/>
    </w:rPr>
  </w:style>
  <w:style w:type="character" w:styleId="35">
    <w:name w:val="Subtitle Char"/>
    <w:basedOn w:val="9"/>
    <w:link w:val="177"/>
    <w:uiPriority w:val="11"/>
    <w:rPr>
      <w:sz w:val="24"/>
      <w:szCs w:val="24"/>
    </w:rPr>
  </w:style>
  <w:style w:type="paragraph" w:styleId="36">
    <w:name w:val="Quote"/>
    <w:basedOn w:val="168"/>
    <w:next w:val="16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168"/>
    <w:next w:val="16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16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168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table" w:styleId="44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168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9"/>
    <w:uiPriority w:val="99"/>
    <w:unhideWhenUsed/>
    <w:rPr>
      <w:vertAlign w:val="superscript"/>
    </w:rPr>
  </w:style>
  <w:style w:type="paragraph" w:styleId="70">
    <w:name w:val="toc 1"/>
    <w:basedOn w:val="168"/>
    <w:next w:val="168"/>
    <w:uiPriority w:val="39"/>
    <w:unhideWhenUsed/>
    <w:pPr>
      <w:ind w:left="0" w:right="0" w:firstLine="0"/>
      <w:spacing w:after="57"/>
    </w:pPr>
  </w:style>
  <w:style w:type="paragraph" w:styleId="71">
    <w:name w:val="toc 2"/>
    <w:basedOn w:val="168"/>
    <w:next w:val="168"/>
    <w:uiPriority w:val="39"/>
    <w:unhideWhenUsed/>
    <w:pPr>
      <w:ind w:left="283" w:right="0" w:firstLine="0"/>
      <w:spacing w:after="57"/>
    </w:pPr>
  </w:style>
  <w:style w:type="paragraph" w:styleId="72">
    <w:name w:val="toc 3"/>
    <w:basedOn w:val="168"/>
    <w:next w:val="168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168"/>
    <w:next w:val="168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168"/>
    <w:next w:val="168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168"/>
    <w:next w:val="168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168"/>
    <w:next w:val="168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168"/>
    <w:next w:val="168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168"/>
    <w:next w:val="168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168" w:default="1">
    <w:name w:val="Normal"/>
  </w:style>
  <w:style w:type="table" w:styleId="169" w:default="1">
    <w:name w:val="Table Normal"/>
    <w:tblPr/>
  </w:style>
  <w:style w:type="paragraph" w:styleId="170">
    <w:name w:val="Heading 1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000000"/>
      <w:sz w:val="40"/>
      <w:szCs w:val="40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120" w:before="40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1">
    <w:name w:val="Heading 2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000000"/>
      <w:sz w:val="32"/>
      <w:szCs w:val="3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120" w:before="36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2">
    <w:name w:val="Heading 3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434343"/>
      <w:sz w:val="28"/>
      <w:szCs w:val="28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32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3">
    <w:name w:val="Heading 4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666666"/>
      <w:sz w:val="24"/>
      <w:szCs w:val="24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28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4">
    <w:name w:val="Heading 5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666666"/>
      <w:sz w:val="22"/>
      <w:szCs w:val="2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24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5">
    <w:name w:val="Heading 6"/>
    <w:basedOn w:val="168"/>
    <w:next w:val="168"/>
    <w:rPr>
      <w:rFonts w:ascii="Arial" w:hAnsi="Arial" w:cs="Arial" w:eastAsia="Arial"/>
      <w:b w:val="false"/>
      <w:i/>
      <w:smallCaps w:val="false"/>
      <w:strike w:val="false"/>
      <w:color w:val="666666"/>
      <w:sz w:val="22"/>
      <w:szCs w:val="2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24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6">
    <w:name w:val="Title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000000"/>
      <w:sz w:val="52"/>
      <w:szCs w:val="5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60" w:before="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7">
    <w:name w:val="Subtitle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666666"/>
      <w:sz w:val="30"/>
      <w:szCs w:val="30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320" w:before="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table" w:styleId="178">
    <w:name w:val="StGen0"/>
    <w:basedOn w:val="169"/>
    <w:rPr>
      <w:rFonts w:ascii="Calibri" w:hAnsi="Calibri" w:cs="Calibri" w:eastAsia="Calibri"/>
      <w:color w:val="000000"/>
    </w:rPr>
    <w:pPr>
      <w:spacing w:lineRule="auto" w:line="240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character" w:styleId="1048" w:default="1">
    <w:name w:val="Default Paragraph Font"/>
    <w:uiPriority w:val="1"/>
    <w:semiHidden/>
    <w:unhideWhenUsed/>
  </w:style>
  <w:style w:type="numbering" w:styleId="104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yperlink" Target="http://www.ozon.ru/person/30061607/" TargetMode="External"/><Relationship Id="rId9" Type="http://schemas.openxmlformats.org/officeDocument/2006/relationships/hyperlink" Target="http://www.ozon.ru/person/30061608/" TargetMode="External"/><Relationship Id="rId10" Type="http://schemas.openxmlformats.org/officeDocument/2006/relationships/hyperlink" Target="http://www.amazon.com/s/ref=rdr_ext_aut?_encoding=UTF8&amp;index=books&amp;field-author=Koos%20Eissen" TargetMode="External"/><Relationship Id="rId11" Type="http://schemas.openxmlformats.org/officeDocument/2006/relationships/hyperlink" Target="http://www.amazon.com/s/ref=rdr_ext_aut?_encoding=UTF8&amp;index=books&amp;field-author=Roselien%20Steur" TargetMode="External"/><Relationship Id="rId12" Type="http://schemas.openxmlformats.org/officeDocument/2006/relationships/hyperlink" Target="http://www.amazon.com/s/ref=rdr_ext_aut?_encoding=UTF8&amp;index=books&amp;field-author=Kevin%20Henry" TargetMode="External"/><Relationship Id="rId13" Type="http://schemas.openxmlformats.org/officeDocument/2006/relationships/hyperlink" Target="http://www.amazon.com/s/ref=rdr_ext_aut?_encoding=UTF8&amp;index=books&amp;field-author=Bjarki%20Hallgrimsson" TargetMode="External"/><Relationship Id="rId14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15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16" Type="http://schemas.openxmlformats.org/officeDocument/2006/relationships/hyperlink" Target="http://designet.ru/" TargetMode="External"/><Relationship Id="rId17" Type="http://schemas.openxmlformats.org/officeDocument/2006/relationships/hyperlink" Target="https://www.behance.net/" TargetMode="External"/><Relationship Id="rId18" Type="http://schemas.openxmlformats.org/officeDocument/2006/relationships/hyperlink" Target="http://www.notcot.org/" TargetMode="External"/><Relationship Id="rId19" Type="http://schemas.openxmlformats.org/officeDocument/2006/relationships/hyperlink" Target="http://mocoloco.com/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onlyoffice/5.3.1.26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