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«Пенал»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Ежедневно, мы пользуемся множеством объектов, не задумываясь о том, как они спроектированы, какое функциональное назначение в них заложено, почему они имеют именно такую, а не иную форму, почему сделаны из определенных материалов. Мы 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быстро привыкаем к ним и, чаще всего, используем без осмысления процесса. Однако, более пристальный взгляд на привычные вещи, может дать нам много полезной информации о них,  выявить их недостатки, а значит, поможет нам сделать вещь удобнее в использовании</w:t>
      </w: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color="auto" w:fill="auto"/>
          <w:vertAlign w:val="baseline"/>
          <w:rtl w:val="false"/>
        </w:rPr>
        <w:t xml:space="preserve">. </w:t>
      </w: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после кейса «Объект из будущего».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178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Научиться проводить анализ формообразования промышленного изделия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jc w:val="both"/>
              <w:spacing w:lineRule="auto" w:line="360"/>
              <w:tabs>
                <w:tab w:val="left" w:pos="993" w:leader="none"/>
              </w:tabs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Преподаватель разбивает детей по группам, состоящим из двух-трех человек. В качестве объекта рассмотрения выбираем школьный пенал. Сравнение разных типов пеналов (для сравнения используются пеналы учащихся), выявление связи функции и формы. Обсуждение.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Научиться выполнять натурную зарисовку объекта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Изучают передачу разных материалов и фактур поверхностей.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Рисуем с натуры маркерами пенал, учитывая перспективу.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Перспектива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Передача различных фактур материалов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техника скетчинга маркерами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sz w:val="14"/>
                <w:szCs w:val="14"/>
                <w:rtl w:val="false"/>
              </w:rPr>
              <w:t xml:space="preserve">Обнаружить недостатки промышленного изделия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Рассуждаем на тему удобства и неудобства пользования пеналом.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 стикерах одного цвета пишем удобства, на стикерах другого цвете - неудобства пользования пеналом.  Клеим стикер рядом с эскизом пенала. Говорим о том, как можно усовершенствовать пенал, фиксируем идеи.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макетирования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Создаем функциональный прототип объекта из бумаги и картона, в натуральную величину. 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Объемно-пространственное мышление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Развить навыки макетирования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Дорабатываем прототип. Тестируем. Вносим корректировки.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презентовать разработанный продукт.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Делаем фотоотчет. Готовим презентацию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Фотография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Дизайн-аналитика, 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Командная работа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Умение отстаивать свою точку зрения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Дизайн-проектирование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генерирования идей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Макетирование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Передача различных фактур материалов</w:t>
      </w:r>
      <w:r/>
    </w:p>
    <w:p>
      <w:pPr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Техника скетчинга маркерами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Композиция в фотографии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с учащимися рассуждает о функции пенала, как о инструменте удобного хранения и переноса собственных канцтоваров. Обсуждаются существующие вариации пеналов.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Задание рассчитано на коллективное исполнение (проектные группы по 2-3 человека). Наставнику рекомендуется следить, чтобы все участники команды были вовлечены в процесс работы над проектом.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Проводится анализ формообразования промышленного изделия на приме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ре школьного пенала, выявляется связь функции и формы. После выполнения эскиза существующего пенала, рекомендуется использование стикеров как инструмента фиксации его достоинств и недостатков. Этот этап проводится по правилам молчаливого мозгового штурма.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Визуализация идей. Создание макета.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Команды создают функциональный прототип усовершенствованног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о пенала из бумаги и картона, который должен отображать проектный замысел, выполняться в натуральную величину и демонстрировать функцию (например: открытие-закрытие). Допустима степень условности при выполнении макета; не нужно стремиться к реалистичности.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Демонстрация прототипа и фотоотчет с этапами создания сверстанный в презентацию.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Для презентации проекта, учащиеся могут сделать зарисовки на маркерной доске, отобразить графически схему функционирования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Маркеры художественные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для макетирования (ватман, формат А2 или А1)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Гофрокартон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Ножницы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 макетный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Макетный коврик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Клей ПВА, клей-карандаш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Фотоаппарат/смартфон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Компьютеры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доска/проектор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7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7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7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7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7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75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8"/>
    <w:next w:val="1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8"/>
    <w:next w:val="1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8"/>
    <w:next w:val="1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8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176"/>
    <w:uiPriority w:val="10"/>
    <w:rPr>
      <w:sz w:val="48"/>
      <w:szCs w:val="48"/>
    </w:rPr>
  </w:style>
  <w:style w:type="character" w:styleId="35">
    <w:name w:val="Subtitle Char"/>
    <w:basedOn w:val="9"/>
    <w:link w:val="177"/>
    <w:uiPriority w:val="11"/>
    <w:rPr>
      <w:sz w:val="24"/>
      <w:szCs w:val="24"/>
    </w:rPr>
  </w:style>
  <w:style w:type="paragraph" w:styleId="36">
    <w:name w:val="Quote"/>
    <w:basedOn w:val="168"/>
    <w:next w:val="1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8"/>
    <w:next w:val="1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8"/>
    <w:next w:val="16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8"/>
    <w:next w:val="16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8"/>
    <w:next w:val="16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8"/>
    <w:next w:val="16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8"/>
    <w:next w:val="16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8"/>
    <w:next w:val="16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8"/>
    <w:next w:val="16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8"/>
    <w:next w:val="16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8"/>
    <w:next w:val="16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8" w:default="1">
    <w:name w:val="Normal"/>
  </w:style>
  <w:style w:type="table" w:styleId="169" w:default="1">
    <w:name w:val="Table Normal"/>
    <w:tblPr/>
  </w:style>
  <w:style w:type="paragraph" w:styleId="170">
    <w:name w:val="Heading 1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1">
    <w:name w:val="Heading 2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2">
    <w:name w:val="Heading 3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3">
    <w:name w:val="Heading 4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4">
    <w:name w:val="Heading 5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5">
    <w:name w:val="Heading 6"/>
    <w:basedOn w:val="168"/>
    <w:next w:val="168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6">
    <w:name w:val="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7">
    <w:name w:val="Sub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178">
    <w:name w:val="StGen0"/>
    <w:basedOn w:val="169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114" w:default="1">
    <w:name w:val="Default Paragraph Font"/>
    <w:uiPriority w:val="1"/>
    <w:semiHidden/>
    <w:unhideWhenUsed/>
  </w:style>
  <w:style w:type="numbering" w:styleId="11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